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4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1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(далее - Управление)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 квартале 202</w:t>
      </w:r>
      <w:r>
        <w:rPr>
          <w:rFonts w:ascii="Times New Roman" w:hAnsi="Times New Roman"/>
          <w:color w:val="000000"/>
          <w:sz w:val="28"/>
        </w:rPr>
        <w:t>1 года поступи</w:t>
      </w:r>
      <w:r>
        <w:rPr>
          <w:rFonts w:ascii="Times New Roman" w:hAnsi="Times New Roman"/>
          <w:color w:val="000000"/>
          <w:sz w:val="28"/>
        </w:rPr>
        <w:t>ло 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57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152 </w:t>
      </w:r>
      <w:r>
        <w:rPr>
          <w:rFonts w:ascii="Times New Roman" w:hAnsi="Times New Roman"/>
          <w:color w:val="000000"/>
          <w:sz w:val="28"/>
        </w:rPr>
        <w:t xml:space="preserve">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20 года (</w:t>
      </w:r>
      <w:r>
        <w:rPr>
          <w:rFonts w:ascii="Times New Roman" w:hAnsi="Times New Roman"/>
          <w:color w:val="000000"/>
          <w:sz w:val="28"/>
        </w:rPr>
        <w:t>102 обращени</w:t>
      </w:r>
      <w:r>
        <w:rPr>
          <w:rFonts w:ascii="Times New Roman" w:hAnsi="Times New Roman"/>
          <w:color w:val="000000"/>
          <w:sz w:val="28"/>
        </w:rPr>
        <w:t>я).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8,2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3,1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16,3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10,1 </w:t>
      </w:r>
      <w:r>
        <w:rPr>
          <w:rFonts w:ascii="Times New Roman" w:hAnsi="Times New Roman"/>
          <w:color w:val="000000"/>
          <w:sz w:val="28"/>
        </w:rPr>
        <w:t>%;</w:t>
      </w:r>
    </w:p>
    <w:p w14:paraId="0C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62,3 </w:t>
      </w:r>
      <w:r>
        <w:rPr>
          <w:rFonts w:ascii="Times New Roman" w:hAnsi="Times New Roman"/>
          <w:color w:val="000000"/>
          <w:sz w:val="28"/>
        </w:rPr>
        <w:t>%.</w:t>
      </w:r>
    </w:p>
    <w:p w14:paraId="0D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компетенции Управления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 xml:space="preserve">ах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 xml:space="preserve"> и информационных технологи</w:t>
      </w:r>
      <w:r>
        <w:rPr>
          <w:rFonts w:ascii="Times New Roman" w:hAnsi="Times New Roman"/>
          <w:color w:val="000000"/>
          <w:sz w:val="28"/>
        </w:rPr>
        <w:t xml:space="preserve">й. </w:t>
      </w:r>
    </w:p>
    <w:p w14:paraId="0E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, 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передач.</w:t>
      </w:r>
    </w:p>
    <w:p w14:paraId="1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150" w:before="15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49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150" w:before="15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Поддержано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0,4 %;</w:t>
      </w:r>
    </w:p>
    <w:p w14:paraId="17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2,0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>28,1 %;</w:t>
      </w:r>
    </w:p>
    <w:p w14:paraId="19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67,5 </w:t>
      </w:r>
      <w:r>
        <w:rPr>
          <w:rFonts w:ascii="Times New Roman" w:hAnsi="Times New Roman"/>
          <w:color w:val="000000"/>
          <w:sz w:val="28"/>
        </w:rPr>
        <w:t>%;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Направлено в территориальный орган</w:t>
      </w:r>
      <w:r>
        <w:rPr>
          <w:rFonts w:ascii="Times New Roman" w:hAnsi="Times New Roman"/>
          <w:color w:val="000000"/>
          <w:sz w:val="28"/>
        </w:rPr>
        <w:t xml:space="preserve"> Роскомнадзора – </w:t>
      </w:r>
      <w:r>
        <w:rPr>
          <w:rFonts w:ascii="Times New Roman" w:hAnsi="Times New Roman"/>
          <w:color w:val="000000"/>
          <w:sz w:val="28"/>
        </w:rPr>
        <w:t>0,4 %;</w:t>
      </w:r>
    </w:p>
    <w:p w14:paraId="1B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0,8 %</w:t>
      </w:r>
    </w:p>
    <w:p w14:paraId="1C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Переписка прекращена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0,8 %</w:t>
      </w:r>
    </w:p>
    <w:p w14:paraId="1D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E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3,1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8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5"/>
    <w:link w:val="Style_14_ch"/>
    <w:rPr>
      <w:color w:val="0000FF"/>
      <w:u w:val="single"/>
    </w:rPr>
  </w:style>
  <w:style w:styleId="Style_14_ch" w:type="character">
    <w:name w:val="Hyperlink"/>
    <w:basedOn w:val="Style_5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2023-01-10T07:24:33Z</dcterms:modified>
</cp:coreProperties>
</file>