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3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2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(далее - Управление)      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 квартале 202</w:t>
      </w:r>
      <w:r>
        <w:rPr>
          <w:rFonts w:ascii="Times New Roman" w:hAnsi="Times New Roman"/>
          <w:color w:val="000000"/>
          <w:sz w:val="28"/>
        </w:rPr>
        <w:t>2 года поступи</w:t>
      </w:r>
      <w:r>
        <w:rPr>
          <w:rFonts w:ascii="Times New Roman" w:hAnsi="Times New Roman"/>
          <w:color w:val="000000"/>
          <w:sz w:val="28"/>
        </w:rPr>
        <w:t>ло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44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бращени</w:t>
      </w:r>
      <w:r>
        <w:rPr>
          <w:rFonts w:ascii="Times New Roman" w:hAnsi="Times New Roman"/>
          <w:color w:val="000000"/>
          <w:sz w:val="28"/>
        </w:rPr>
        <w:t>я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7,5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21 года (</w:t>
      </w:r>
      <w:r>
        <w:rPr>
          <w:rFonts w:ascii="Times New Roman" w:hAnsi="Times New Roman"/>
          <w:color w:val="000000"/>
          <w:sz w:val="28"/>
        </w:rPr>
        <w:t>227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7,4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4,9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11,9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>нформационных технологий –</w:t>
      </w:r>
      <w:r>
        <w:rPr>
          <w:rFonts w:ascii="Times New Roman" w:hAnsi="Times New Roman"/>
          <w:color w:val="000000"/>
          <w:sz w:val="28"/>
        </w:rPr>
        <w:t xml:space="preserve"> 8,6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67,2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направлениям деятельности Управления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</w:t>
      </w:r>
      <w:r>
        <w:rPr>
          <w:rFonts w:ascii="Times New Roman" w:hAnsi="Times New Roman"/>
          <w:color w:val="000000"/>
          <w:sz w:val="28"/>
        </w:rPr>
        <w:t xml:space="preserve"> и организации деятельности редакций СМИ.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37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</w:t>
      </w:r>
      <w:r>
        <w:rPr>
          <w:rFonts w:ascii="Times New Roman" w:hAnsi="Times New Roman"/>
          <w:color w:val="000000"/>
          <w:sz w:val="28"/>
        </w:rPr>
        <w:t>ержано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1,3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0,8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>19,4 %;</w:t>
      </w:r>
    </w:p>
    <w:p w14:paraId="19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74,2 </w:t>
      </w:r>
      <w:r>
        <w:rPr>
          <w:rFonts w:ascii="Times New Roman" w:hAnsi="Times New Roman"/>
          <w:color w:val="000000"/>
          <w:sz w:val="28"/>
        </w:rPr>
        <w:t>%;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Направлено в территориальный орган</w:t>
      </w:r>
      <w:r>
        <w:rPr>
          <w:rFonts w:ascii="Times New Roman" w:hAnsi="Times New Roman"/>
          <w:color w:val="000000"/>
          <w:sz w:val="28"/>
        </w:rPr>
        <w:t xml:space="preserve"> Роскомнадзора – </w:t>
      </w:r>
      <w:r>
        <w:rPr>
          <w:rFonts w:ascii="Times New Roman" w:hAnsi="Times New Roman"/>
          <w:color w:val="000000"/>
          <w:sz w:val="28"/>
        </w:rPr>
        <w:t>1,3 %;</w:t>
      </w:r>
    </w:p>
    <w:p w14:paraId="1B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3,0 %</w:t>
      </w:r>
    </w:p>
    <w:p w14:paraId="1C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D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2,9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7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basedOn w:val="Style_11"/>
    <w:link w:val="Style_10_ch"/>
    <w:rPr>
      <w:color w:val="0000FF"/>
      <w:u w:val="single"/>
    </w:rPr>
  </w:style>
  <w:style w:styleId="Style_10_ch" w:type="character">
    <w:name w:val="Hyperlink"/>
    <w:basedOn w:val="Style_11_ch"/>
    <w:link w:val="Style_10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Strong"/>
    <w:basedOn w:val="Style_11"/>
    <w:link w:val="Style_24_ch"/>
    <w:rPr>
      <w:b w:val="1"/>
    </w:rPr>
  </w:style>
  <w:style w:styleId="Style_24_ch" w:type="character">
    <w:name w:val="Strong"/>
    <w:basedOn w:val="Style_11_ch"/>
    <w:link w:val="Style_24"/>
    <w:rPr>
      <w:b w:val="1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2022-10-05T04:08:47Z</dcterms:modified>
</cp:coreProperties>
</file>