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 </w:t>
      </w:r>
      <w:r>
        <w:rPr>
          <w:rFonts w:ascii="Times New Roman" w:hAnsi="Times New Roman"/>
          <w:b w:val="1"/>
          <w:color w:val="000000"/>
          <w:sz w:val="28"/>
        </w:rPr>
        <w:t xml:space="preserve">3 </w:t>
      </w:r>
      <w:r>
        <w:rPr>
          <w:rFonts w:ascii="Times New Roman" w:hAnsi="Times New Roman"/>
          <w:b w:val="1"/>
          <w:color w:val="000000"/>
          <w:sz w:val="28"/>
        </w:rPr>
        <w:t>квартале 2020</w:t>
      </w:r>
      <w:r>
        <w:rPr>
          <w:rFonts w:ascii="Times New Roman" w:hAnsi="Times New Roman"/>
          <w:b w:val="1"/>
          <w:color w:val="000000"/>
          <w:sz w:val="28"/>
        </w:rPr>
        <w:t xml:space="preserve">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3 квартале 2020</w:t>
      </w:r>
      <w:r>
        <w:rPr>
          <w:rFonts w:ascii="Times New Roman" w:hAnsi="Times New Roman"/>
          <w:color w:val="000000"/>
          <w:sz w:val="28"/>
        </w:rPr>
        <w:t xml:space="preserve"> года поступило </w:t>
      </w:r>
      <w:r>
        <w:rPr>
          <w:rFonts w:ascii="Times New Roman" w:hAnsi="Times New Roman"/>
          <w:b w:val="1"/>
          <w:color w:val="000000"/>
          <w:sz w:val="28"/>
        </w:rPr>
        <w:t>101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е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83,1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% меньше</w:t>
      </w:r>
      <w:r>
        <w:rPr>
          <w:rFonts w:ascii="Times New Roman" w:hAnsi="Times New Roman"/>
          <w:color w:val="000000"/>
          <w:sz w:val="28"/>
        </w:rPr>
        <w:t>, чем за ан</w:t>
      </w:r>
      <w:r>
        <w:rPr>
          <w:rFonts w:ascii="Times New Roman" w:hAnsi="Times New Roman"/>
          <w:color w:val="000000"/>
          <w:sz w:val="28"/>
        </w:rPr>
        <w:t>алогичный период 2019</w:t>
      </w:r>
      <w:r>
        <w:rPr>
          <w:rFonts w:ascii="Times New Roman" w:hAnsi="Times New Roman"/>
          <w:color w:val="000000"/>
          <w:sz w:val="28"/>
        </w:rPr>
        <w:t xml:space="preserve"> года (</w:t>
      </w:r>
      <w:r>
        <w:rPr>
          <w:rFonts w:ascii="Times New Roman" w:hAnsi="Times New Roman"/>
          <w:color w:val="000000"/>
          <w:sz w:val="28"/>
        </w:rPr>
        <w:t>18</w:t>
      </w:r>
      <w:r>
        <w:rPr>
          <w:rFonts w:ascii="Times New Roman" w:hAnsi="Times New Roman"/>
          <w:color w:val="000000"/>
          <w:sz w:val="28"/>
        </w:rPr>
        <w:t>5 обращени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24,8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3,9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41,6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24,8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4,9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 xml:space="preserve">ах </w:t>
      </w:r>
      <w:r>
        <w:rPr>
          <w:rFonts w:ascii="Times New Roman" w:hAnsi="Times New Roman"/>
          <w:color w:val="000000"/>
          <w:sz w:val="28"/>
        </w:rPr>
        <w:t xml:space="preserve">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, связи и информационных технологий.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>а оказания услуг связи, а также пересылки, доставки и розыска почтовых отправлений.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.т.ч. телевизионных передачах.</w:t>
      </w:r>
    </w:p>
    <w:p w14:paraId="12000000">
      <w:pPr>
        <w:spacing w:after="150" w:before="150" w:line="270" w:lineRule="atLeast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85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1,</w:t>
      </w:r>
      <w:r>
        <w:rPr>
          <w:rFonts w:ascii="Times New Roman" w:hAnsi="Times New Roman"/>
          <w:color w:val="000000"/>
          <w:sz w:val="28"/>
        </w:rPr>
        <w:t>2 %;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9,4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55,3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32,9 </w:t>
      </w:r>
      <w:r>
        <w:rPr>
          <w:rFonts w:ascii="Times New Roman" w:hAnsi="Times New Roman"/>
          <w:color w:val="000000"/>
          <w:sz w:val="28"/>
        </w:rPr>
        <w:t>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1,2 %</w:t>
      </w:r>
    </w:p>
    <w:p w14:paraId="19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15,8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(16</w:t>
      </w:r>
      <w:r>
        <w:rPr>
          <w:rFonts w:ascii="Times New Roman" w:hAnsi="Times New Roman"/>
          <w:color w:val="000000"/>
          <w:sz w:val="28"/>
        </w:rPr>
        <w:t xml:space="preserve">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Normal (Web)"/>
    <w:basedOn w:val="Style_1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_ch"/>
    <w:link w:val="Style_6"/>
    <w:rPr>
      <w:rFonts w:ascii="Times New Roman" w:hAnsi="Times New Roman"/>
      <w:sz w:val="24"/>
    </w:rPr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Balloon Text"/>
    <w:basedOn w:val="Style_1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9"/>
    <w:link w:val="Style_14_ch"/>
    <w:rPr>
      <w:color w:val="0000FF"/>
      <w:u w:val="single"/>
    </w:rPr>
  </w:style>
  <w:style w:styleId="Style_14_ch" w:type="character">
    <w:name w:val="Hyperlink"/>
    <w:basedOn w:val="Style_9_ch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2021-01-11T06:37:17Z</dcterms:modified>
</cp:coreProperties>
</file>