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line="270" w:lineRule="atLeast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Результаты рассмотрения обращений граждан</w:t>
      </w:r>
    </w:p>
    <w:p w14:paraId="02000000">
      <w:pPr>
        <w:spacing w:after="0" w:line="270" w:lineRule="atLeast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Управлением Роскомнадзора по </w:t>
      </w:r>
      <w:r>
        <w:rPr>
          <w:rFonts w:ascii="Times New Roman" w:hAnsi="Times New Roman"/>
          <w:b w:val="1"/>
          <w:color w:val="000000"/>
          <w:sz w:val="28"/>
        </w:rPr>
        <w:t>Республике Бурятия</w:t>
      </w:r>
    </w:p>
    <w:p w14:paraId="03000000">
      <w:pPr>
        <w:spacing w:after="0" w:line="270" w:lineRule="atLeast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в</w:t>
      </w:r>
      <w:r>
        <w:rPr>
          <w:rFonts w:ascii="Times New Roman" w:hAnsi="Times New Roman"/>
          <w:b w:val="1"/>
          <w:color w:val="000000"/>
          <w:sz w:val="28"/>
        </w:rPr>
        <w:t xml:space="preserve"> 4 </w:t>
      </w:r>
      <w:r>
        <w:rPr>
          <w:rFonts w:ascii="Times New Roman" w:hAnsi="Times New Roman"/>
          <w:b w:val="1"/>
          <w:color w:val="000000"/>
          <w:sz w:val="28"/>
        </w:rPr>
        <w:t>квартале 202</w:t>
      </w:r>
      <w:r>
        <w:rPr>
          <w:rFonts w:ascii="Times New Roman" w:hAnsi="Times New Roman"/>
          <w:b w:val="1"/>
          <w:color w:val="000000"/>
          <w:sz w:val="28"/>
        </w:rPr>
        <w:t>2 года</w:t>
      </w:r>
    </w:p>
    <w:p w14:paraId="04000000">
      <w:pPr>
        <w:spacing w:after="0" w:line="270" w:lineRule="atLeast"/>
        <w:ind/>
        <w:jc w:val="center"/>
        <w:rPr>
          <w:rFonts w:ascii="Times New Roman" w:hAnsi="Times New Roman"/>
          <w:color w:val="000000"/>
          <w:sz w:val="28"/>
        </w:rPr>
      </w:pPr>
    </w:p>
    <w:p w14:paraId="05000000">
      <w:pPr>
        <w:spacing w:after="0" w:line="270" w:lineRule="atLeast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Управление Роскомнадзора по </w:t>
      </w:r>
      <w:r>
        <w:rPr>
          <w:rFonts w:ascii="Times New Roman" w:hAnsi="Times New Roman"/>
          <w:color w:val="000000"/>
          <w:sz w:val="28"/>
        </w:rPr>
        <w:t xml:space="preserve">Республике Бурятия (далее - Управление)       </w:t>
      </w: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4 квартале 202</w:t>
      </w:r>
      <w:r>
        <w:rPr>
          <w:rFonts w:ascii="Times New Roman" w:hAnsi="Times New Roman"/>
          <w:color w:val="000000"/>
          <w:sz w:val="28"/>
        </w:rPr>
        <w:t>2 года поступи</w:t>
      </w:r>
      <w:r>
        <w:rPr>
          <w:rFonts w:ascii="Times New Roman" w:hAnsi="Times New Roman"/>
          <w:color w:val="000000"/>
          <w:sz w:val="28"/>
        </w:rPr>
        <w:t>ло</w:t>
      </w: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b w:val="1"/>
          <w:color w:val="000000"/>
          <w:sz w:val="28"/>
        </w:rPr>
        <w:t xml:space="preserve">239 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бращени</w:t>
      </w:r>
      <w:r>
        <w:rPr>
          <w:rFonts w:ascii="Times New Roman" w:hAnsi="Times New Roman"/>
          <w:color w:val="000000"/>
          <w:sz w:val="28"/>
        </w:rPr>
        <w:t>й граждан и организаций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что на</w:t>
      </w:r>
      <w:r>
        <w:rPr>
          <w:rFonts w:ascii="Times New Roman" w:hAnsi="Times New Roman"/>
          <w:color w:val="000000"/>
          <w:sz w:val="28"/>
        </w:rPr>
        <w:t xml:space="preserve">     </w:t>
      </w:r>
      <w:r>
        <w:rPr>
          <w:rFonts w:ascii="Times New Roman" w:hAnsi="Times New Roman"/>
          <w:color w:val="000000"/>
          <w:sz w:val="28"/>
        </w:rPr>
        <w:t xml:space="preserve">7,0 </w:t>
      </w:r>
      <w:r>
        <w:rPr>
          <w:rFonts w:ascii="Times New Roman" w:hAnsi="Times New Roman"/>
          <w:color w:val="000000"/>
          <w:sz w:val="28"/>
        </w:rPr>
        <w:t>%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меньше чем за ан</w:t>
      </w:r>
      <w:r>
        <w:rPr>
          <w:rFonts w:ascii="Times New Roman" w:hAnsi="Times New Roman"/>
          <w:color w:val="000000"/>
          <w:sz w:val="28"/>
        </w:rPr>
        <w:t>алогичный период 20</w:t>
      </w:r>
      <w:r>
        <w:rPr>
          <w:rFonts w:ascii="Times New Roman" w:hAnsi="Times New Roman"/>
          <w:color w:val="000000"/>
          <w:sz w:val="28"/>
        </w:rPr>
        <w:t>21 года (</w:t>
      </w:r>
      <w:r>
        <w:rPr>
          <w:rFonts w:ascii="Times New Roman" w:hAnsi="Times New Roman"/>
          <w:color w:val="000000"/>
          <w:sz w:val="28"/>
        </w:rPr>
        <w:t>257 обращени</w:t>
      </w:r>
      <w:r>
        <w:rPr>
          <w:rFonts w:ascii="Times New Roman" w:hAnsi="Times New Roman"/>
          <w:color w:val="000000"/>
          <w:sz w:val="28"/>
        </w:rPr>
        <w:t>й).</w:t>
      </w:r>
    </w:p>
    <w:p w14:paraId="06000000">
      <w:pPr>
        <w:spacing w:after="0" w:before="0" w:line="270" w:lineRule="atLeast"/>
        <w:ind w:firstLine="709"/>
        <w:jc w:val="both"/>
        <w:rPr>
          <w:rFonts w:ascii="Times New Roman" w:hAnsi="Times New Roman"/>
          <w:color w:val="000000"/>
          <w:sz w:val="28"/>
        </w:rPr>
      </w:pPr>
    </w:p>
    <w:p w14:paraId="07000000">
      <w:pPr>
        <w:spacing w:after="150" w:before="150" w:line="270" w:lineRule="atLeast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Соотношение количества поступивших в отчетном периоде обращений граждан в различных сферах деятельности:</w:t>
      </w:r>
    </w:p>
    <w:p w14:paraId="08000000">
      <w:pPr>
        <w:numPr>
          <w:ilvl w:val="0"/>
          <w:numId w:val="1"/>
        </w:numPr>
        <w:spacing w:after="120" w:line="270" w:lineRule="atLeast"/>
        <w:ind w:firstLine="0" w:left="22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сфере связи – </w:t>
      </w:r>
      <w:r>
        <w:rPr>
          <w:rFonts w:ascii="Times New Roman" w:hAnsi="Times New Roman"/>
          <w:color w:val="000000"/>
          <w:sz w:val="28"/>
        </w:rPr>
        <w:t xml:space="preserve">12,6 </w:t>
      </w:r>
      <w:r>
        <w:rPr>
          <w:rFonts w:ascii="Times New Roman" w:hAnsi="Times New Roman"/>
          <w:color w:val="000000"/>
          <w:sz w:val="28"/>
        </w:rPr>
        <w:t>%;</w:t>
      </w:r>
    </w:p>
    <w:p w14:paraId="09000000">
      <w:pPr>
        <w:numPr>
          <w:ilvl w:val="0"/>
          <w:numId w:val="1"/>
        </w:numPr>
        <w:spacing w:after="120" w:line="270" w:lineRule="atLeast"/>
        <w:ind w:firstLine="0" w:left="22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сф</w:t>
      </w:r>
      <w:r>
        <w:rPr>
          <w:rFonts w:ascii="Times New Roman" w:hAnsi="Times New Roman"/>
          <w:color w:val="000000"/>
          <w:sz w:val="28"/>
        </w:rPr>
        <w:t>ер</w:t>
      </w:r>
      <w:r>
        <w:rPr>
          <w:rFonts w:ascii="Times New Roman" w:hAnsi="Times New Roman"/>
          <w:color w:val="000000"/>
          <w:sz w:val="28"/>
        </w:rPr>
        <w:t xml:space="preserve">е массовых коммуникаций – </w:t>
      </w:r>
      <w:r>
        <w:rPr>
          <w:rFonts w:ascii="Times New Roman" w:hAnsi="Times New Roman"/>
          <w:color w:val="000000"/>
          <w:sz w:val="28"/>
        </w:rPr>
        <w:t xml:space="preserve">1,3 </w:t>
      </w:r>
      <w:r>
        <w:rPr>
          <w:rFonts w:ascii="Times New Roman" w:hAnsi="Times New Roman"/>
          <w:color w:val="000000"/>
          <w:sz w:val="28"/>
        </w:rPr>
        <w:t>%;</w:t>
      </w:r>
    </w:p>
    <w:p w14:paraId="0A000000">
      <w:pPr>
        <w:numPr>
          <w:ilvl w:val="0"/>
          <w:numId w:val="1"/>
        </w:numPr>
        <w:spacing w:after="120" w:line="270" w:lineRule="atLeast"/>
        <w:ind w:firstLine="0" w:left="22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сфере защиты </w:t>
      </w:r>
      <w:r>
        <w:rPr>
          <w:rFonts w:ascii="Times New Roman" w:hAnsi="Times New Roman"/>
          <w:color w:val="000000"/>
          <w:sz w:val="28"/>
        </w:rPr>
        <w:t>персональных данных –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13,8 </w:t>
      </w:r>
      <w:r>
        <w:rPr>
          <w:rFonts w:ascii="Times New Roman" w:hAnsi="Times New Roman"/>
          <w:color w:val="000000"/>
          <w:sz w:val="28"/>
        </w:rPr>
        <w:t>%;</w:t>
      </w:r>
    </w:p>
    <w:p w14:paraId="0B000000">
      <w:pPr>
        <w:numPr>
          <w:ilvl w:val="0"/>
          <w:numId w:val="1"/>
        </w:numPr>
        <w:spacing w:after="120" w:line="270" w:lineRule="atLeast"/>
        <w:ind w:firstLine="0" w:left="22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сфере и</w:t>
      </w:r>
      <w:r>
        <w:rPr>
          <w:rFonts w:ascii="Times New Roman" w:hAnsi="Times New Roman"/>
          <w:color w:val="000000"/>
          <w:sz w:val="28"/>
        </w:rPr>
        <w:t>нформационных технологий –</w:t>
      </w:r>
      <w:r>
        <w:rPr>
          <w:rFonts w:ascii="Times New Roman" w:hAnsi="Times New Roman"/>
          <w:color w:val="000000"/>
          <w:sz w:val="28"/>
        </w:rPr>
        <w:t xml:space="preserve"> 10,0 </w:t>
      </w:r>
      <w:r>
        <w:rPr>
          <w:rFonts w:ascii="Times New Roman" w:hAnsi="Times New Roman"/>
          <w:color w:val="000000"/>
          <w:sz w:val="28"/>
        </w:rPr>
        <w:t>%;</w:t>
      </w:r>
    </w:p>
    <w:p w14:paraId="0C000000">
      <w:pPr>
        <w:numPr>
          <w:ilvl w:val="0"/>
          <w:numId w:val="1"/>
        </w:numPr>
        <w:spacing w:after="120" w:line="270" w:lineRule="atLeast"/>
        <w:ind w:firstLine="0" w:left="22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иные вопросы – </w:t>
      </w:r>
      <w:r>
        <w:rPr>
          <w:rFonts w:ascii="Times New Roman" w:hAnsi="Times New Roman"/>
          <w:color w:val="000000"/>
          <w:sz w:val="28"/>
        </w:rPr>
        <w:t xml:space="preserve">62,3 </w:t>
      </w:r>
      <w:r>
        <w:rPr>
          <w:rFonts w:ascii="Times New Roman" w:hAnsi="Times New Roman"/>
          <w:color w:val="000000"/>
          <w:sz w:val="28"/>
        </w:rPr>
        <w:t>%.</w:t>
      </w:r>
    </w:p>
    <w:p w14:paraId="0D000000">
      <w:pPr>
        <w:spacing w:after="0" w:line="270" w:lineRule="atLeast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Наибольшее количество обращений по направлениям деятельности Управления приходится на обращения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 вопросами</w:t>
      </w:r>
      <w:r>
        <w:rPr>
          <w:rFonts w:ascii="Times New Roman" w:hAnsi="Times New Roman"/>
          <w:color w:val="000000"/>
          <w:sz w:val="28"/>
        </w:rPr>
        <w:t xml:space="preserve"> в</w:t>
      </w:r>
      <w:r>
        <w:rPr>
          <w:rFonts w:ascii="Times New Roman" w:hAnsi="Times New Roman"/>
          <w:color w:val="000000"/>
          <w:sz w:val="28"/>
        </w:rPr>
        <w:t xml:space="preserve"> сфер</w:t>
      </w:r>
      <w:r>
        <w:rPr>
          <w:rFonts w:ascii="Times New Roman" w:hAnsi="Times New Roman"/>
          <w:color w:val="000000"/>
          <w:sz w:val="28"/>
        </w:rPr>
        <w:t>ах</w:t>
      </w:r>
      <w:r>
        <w:rPr>
          <w:rFonts w:ascii="Times New Roman" w:hAnsi="Times New Roman"/>
          <w:color w:val="000000"/>
          <w:sz w:val="28"/>
        </w:rPr>
        <w:t xml:space="preserve"> защиты персональных </w:t>
      </w:r>
      <w:r>
        <w:rPr>
          <w:rFonts w:ascii="Times New Roman" w:hAnsi="Times New Roman"/>
          <w:color w:val="000000"/>
          <w:sz w:val="28"/>
        </w:rPr>
        <w:t>данных и связи</w:t>
      </w:r>
      <w:r>
        <w:rPr>
          <w:rFonts w:ascii="Times New Roman" w:hAnsi="Times New Roman"/>
          <w:color w:val="000000"/>
          <w:sz w:val="28"/>
        </w:rPr>
        <w:t>.</w:t>
      </w:r>
    </w:p>
    <w:p w14:paraId="0E000000">
      <w:pPr>
        <w:spacing w:after="0" w:before="0" w:line="270" w:lineRule="atLeast"/>
        <w:ind w:firstLine="709"/>
        <w:jc w:val="both"/>
        <w:rPr>
          <w:rFonts w:ascii="Times New Roman" w:hAnsi="Times New Roman"/>
          <w:color w:val="000000"/>
          <w:sz w:val="28"/>
        </w:rPr>
      </w:pPr>
    </w:p>
    <w:p w14:paraId="0F000000">
      <w:pPr>
        <w:spacing w:after="150" w:before="150" w:line="270" w:lineRule="atLeast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Сравнительный анализ поступивших обращений показывает, что наибольшее количество вопросов касаются:</w:t>
      </w:r>
    </w:p>
    <w:p w14:paraId="10000000">
      <w:pPr>
        <w:spacing w:after="0" w:line="270" w:lineRule="atLeast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В сфере информационных технологий –</w:t>
      </w:r>
      <w:r>
        <w:rPr>
          <w:rFonts w:ascii="Times New Roman" w:hAnsi="Times New Roman"/>
          <w:color w:val="000000"/>
          <w:sz w:val="28"/>
        </w:rPr>
        <w:t> организации деятельности сайтов.</w:t>
      </w:r>
    </w:p>
    <w:p w14:paraId="11000000">
      <w:pPr>
        <w:spacing w:after="0" w:line="270" w:lineRule="atLeast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В сфере персональных данных</w:t>
      </w:r>
      <w:r>
        <w:rPr>
          <w:rFonts w:ascii="Times New Roman" w:hAnsi="Times New Roman"/>
          <w:color w:val="000000"/>
          <w:sz w:val="28"/>
        </w:rPr>
        <w:t> –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защиты персональных данных</w:t>
      </w:r>
      <w:r>
        <w:rPr>
          <w:rFonts w:ascii="Times New Roman" w:hAnsi="Times New Roman"/>
          <w:color w:val="000000"/>
          <w:sz w:val="28"/>
        </w:rPr>
        <w:t>.</w:t>
      </w:r>
    </w:p>
    <w:p w14:paraId="12000000">
      <w:pPr>
        <w:spacing w:after="0" w:line="270" w:lineRule="atLeast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В сфере связи</w:t>
      </w:r>
      <w:r>
        <w:rPr>
          <w:rFonts w:ascii="Times New Roman" w:hAnsi="Times New Roman"/>
          <w:color w:val="000000"/>
          <w:sz w:val="28"/>
        </w:rPr>
        <w:t> –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пересылки, доставки и розыска почтовых отправлений</w:t>
      </w:r>
      <w:r>
        <w:rPr>
          <w:rFonts w:ascii="Times New Roman" w:hAnsi="Times New Roman"/>
          <w:color w:val="000000"/>
          <w:sz w:val="28"/>
        </w:rPr>
        <w:t>, качества оказания услуг связ</w:t>
      </w:r>
      <w:r>
        <w:rPr>
          <w:rFonts w:ascii="Times New Roman" w:hAnsi="Times New Roman"/>
          <w:color w:val="000000"/>
          <w:sz w:val="28"/>
        </w:rPr>
        <w:t>и.</w:t>
      </w:r>
    </w:p>
    <w:p w14:paraId="13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В сфере массовых коммуникаций</w:t>
      </w: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 xml:space="preserve"> содержания материалов, публикуемых в СМ</w:t>
      </w:r>
      <w:r>
        <w:rPr>
          <w:rFonts w:ascii="Times New Roman" w:hAnsi="Times New Roman"/>
          <w:color w:val="000000"/>
          <w:sz w:val="28"/>
        </w:rPr>
        <w:t>И, в т.ч. телевизионных передач</w:t>
      </w:r>
      <w:r>
        <w:rPr>
          <w:rFonts w:ascii="Times New Roman" w:hAnsi="Times New Roman"/>
          <w:color w:val="000000"/>
          <w:sz w:val="28"/>
        </w:rPr>
        <w:t xml:space="preserve"> и организации деятельности редакций СМИ.</w:t>
      </w:r>
    </w:p>
    <w:p w14:paraId="14000000">
      <w:pPr>
        <w:spacing w:after="0" w:before="0" w:line="240" w:lineRule="auto"/>
        <w:ind/>
        <w:jc w:val="both"/>
        <w:rPr>
          <w:rFonts w:ascii="Times New Roman" w:hAnsi="Times New Roman"/>
          <w:color w:val="000000"/>
          <w:sz w:val="28"/>
        </w:rPr>
      </w:pPr>
    </w:p>
    <w:p w14:paraId="15000000">
      <w:pPr>
        <w:spacing w:after="150" w:before="15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Процентное соотношение итого</w:t>
      </w:r>
      <w:r>
        <w:rPr>
          <w:rFonts w:ascii="Times New Roman" w:hAnsi="Times New Roman"/>
          <w:color w:val="000000"/>
          <w:sz w:val="28"/>
        </w:rPr>
        <w:t>в рассмотрения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2</w:t>
      </w:r>
      <w:r>
        <w:rPr>
          <w:rFonts w:ascii="Times New Roman" w:hAnsi="Times New Roman"/>
          <w:b w:val="1"/>
          <w:color w:val="000000"/>
          <w:sz w:val="28"/>
        </w:rPr>
        <w:t>23</w:t>
      </w:r>
      <w:r>
        <w:rPr>
          <w:rFonts w:ascii="Times New Roman" w:hAnsi="Times New Roman"/>
          <w:color w:val="000000"/>
          <w:sz w:val="28"/>
        </w:rPr>
        <w:t xml:space="preserve"> обращений</w:t>
      </w:r>
      <w:r>
        <w:rPr>
          <w:rFonts w:ascii="Times New Roman" w:hAnsi="Times New Roman"/>
          <w:color w:val="000000"/>
          <w:sz w:val="28"/>
        </w:rPr>
        <w:t>:</w:t>
      </w:r>
    </w:p>
    <w:p w14:paraId="16000000">
      <w:pPr>
        <w:spacing w:after="150" w:before="150" w:line="240" w:lineRule="auto"/>
        <w:ind w:firstLine="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Подд</w:t>
      </w:r>
      <w:r>
        <w:rPr>
          <w:rFonts w:ascii="Times New Roman" w:hAnsi="Times New Roman"/>
          <w:color w:val="000000"/>
          <w:sz w:val="28"/>
        </w:rPr>
        <w:t>ержано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 xml:space="preserve">5,8 </w:t>
      </w:r>
      <w:r>
        <w:rPr>
          <w:rFonts w:ascii="Times New Roman" w:hAnsi="Times New Roman"/>
          <w:color w:val="000000"/>
          <w:sz w:val="28"/>
        </w:rPr>
        <w:t>%;</w:t>
      </w:r>
    </w:p>
    <w:p w14:paraId="17000000">
      <w:pPr>
        <w:spacing w:after="150" w:before="150" w:line="270" w:lineRule="atLeast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Не поддержан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 xml:space="preserve">0,5 </w:t>
      </w:r>
      <w:r>
        <w:rPr>
          <w:rFonts w:ascii="Times New Roman" w:hAnsi="Times New Roman"/>
          <w:color w:val="000000"/>
          <w:sz w:val="28"/>
        </w:rPr>
        <w:t>%;</w:t>
      </w:r>
    </w:p>
    <w:p w14:paraId="18000000">
      <w:pPr>
        <w:spacing w:after="120" w:line="270" w:lineRule="atLeast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 xml:space="preserve">Разъяснено – </w:t>
      </w:r>
      <w:r>
        <w:rPr>
          <w:rFonts w:ascii="Times New Roman" w:hAnsi="Times New Roman"/>
          <w:color w:val="000000"/>
          <w:sz w:val="28"/>
        </w:rPr>
        <w:t>22,4 %;</w:t>
      </w:r>
    </w:p>
    <w:p w14:paraId="19000000">
      <w:pPr>
        <w:spacing w:after="120" w:line="270" w:lineRule="atLeast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Переслано по принадлежности –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70,4 </w:t>
      </w:r>
      <w:r>
        <w:rPr>
          <w:rFonts w:ascii="Times New Roman" w:hAnsi="Times New Roman"/>
          <w:color w:val="000000"/>
          <w:sz w:val="28"/>
        </w:rPr>
        <w:t>%;</w:t>
      </w:r>
    </w:p>
    <w:p w14:paraId="1A000000">
      <w:pPr>
        <w:spacing w:after="120" w:line="270" w:lineRule="atLeast"/>
        <w:ind/>
        <w:jc w:val="both"/>
        <w:rPr>
          <w:rFonts w:ascii="Times New Roman" w:hAnsi="Times New Roman"/>
          <w:color w:val="000000"/>
          <w:sz w:val="28"/>
        </w:rPr>
      </w:pPr>
      <w:r>
        <w:rPr>
          <w:rStyle w:val="Style_1_ch"/>
          <w:rFonts w:ascii="Times New Roman" w:hAnsi="Times New Roman"/>
          <w:color w:val="000000"/>
          <w:sz w:val="28"/>
        </w:rPr>
        <w:t>- Отозвано гра</w:t>
      </w:r>
      <w:r>
        <w:rPr>
          <w:rStyle w:val="Style_1_ch"/>
          <w:rFonts w:ascii="Times New Roman" w:hAnsi="Times New Roman"/>
          <w:color w:val="000000"/>
          <w:sz w:val="28"/>
        </w:rPr>
        <w:t>жданином</w:t>
      </w:r>
      <w:r>
        <w:rPr>
          <w:rFonts w:ascii="Times New Roman" w:hAnsi="Times New Roman"/>
          <w:color w:val="000000"/>
          <w:sz w:val="28"/>
        </w:rPr>
        <w:t xml:space="preserve"> –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Style w:val="Style_1_ch"/>
          <w:rFonts w:ascii="Times New Roman" w:hAnsi="Times New Roman"/>
          <w:color w:val="000000"/>
          <w:sz w:val="28"/>
        </w:rPr>
        <w:t>0,9 %.</w:t>
      </w:r>
    </w:p>
    <w:p w14:paraId="1B000000">
      <w:pPr>
        <w:spacing w:after="0" w:line="270" w:lineRule="atLeast"/>
        <w:ind/>
        <w:rPr>
          <w:rFonts w:ascii="Times New Roman" w:hAnsi="Times New Roman"/>
          <w:color w:val="000000"/>
          <w:sz w:val="28"/>
        </w:rPr>
      </w:pPr>
    </w:p>
    <w:p w14:paraId="1C000000">
      <w:pPr>
        <w:spacing w:after="0" w:line="270" w:lineRule="atLeas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аходи</w:t>
      </w:r>
      <w:r>
        <w:rPr>
          <w:rFonts w:ascii="Times New Roman" w:hAnsi="Times New Roman"/>
          <w:color w:val="000000"/>
          <w:sz w:val="28"/>
        </w:rPr>
        <w:t xml:space="preserve">тся на </w:t>
      </w:r>
      <w:r>
        <w:rPr>
          <w:rFonts w:ascii="Times New Roman" w:hAnsi="Times New Roman"/>
          <w:color w:val="000000"/>
          <w:sz w:val="28"/>
        </w:rPr>
        <w:t xml:space="preserve">рассмотрении – </w:t>
      </w:r>
      <w:r>
        <w:rPr>
          <w:rFonts w:ascii="Times New Roman" w:hAnsi="Times New Roman"/>
          <w:color w:val="000000"/>
          <w:sz w:val="28"/>
        </w:rPr>
        <w:t xml:space="preserve">6,7 </w:t>
      </w:r>
      <w:r>
        <w:rPr>
          <w:rFonts w:ascii="Times New Roman" w:hAnsi="Times New Roman"/>
          <w:color w:val="000000"/>
          <w:sz w:val="28"/>
        </w:rPr>
        <w:t>%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16 обращений).</w:t>
      </w:r>
    </w:p>
    <w:sectPr>
      <w:pgSz w:h="16838" w:w="11906"/>
      <w:pgMar w:bottom="567" w:footer="709" w:gutter="0" w:header="709" w:left="1134" w:right="567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Normal (Web)"/>
    <w:basedOn w:val="Style_1"/>
    <w:link w:val="Style_8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8_ch" w:type="character">
    <w:name w:val="Normal (Web)"/>
    <w:basedOn w:val="Style_1_ch"/>
    <w:link w:val="Style_8"/>
    <w:rPr>
      <w:rFonts w:ascii="Times New Roman" w:hAnsi="Times New Roman"/>
      <w:sz w:val="24"/>
    </w:rPr>
  </w:style>
  <w:style w:styleId="Style_9" w:type="paragraph">
    <w:name w:val="Balloon Text"/>
    <w:basedOn w:val="Style_1"/>
    <w:link w:val="Style_9_ch"/>
    <w:pPr>
      <w:spacing w:after="0" w:line="240" w:lineRule="auto"/>
      <w:ind/>
    </w:pPr>
    <w:rPr>
      <w:rFonts w:ascii="Tahoma" w:hAnsi="Tahoma"/>
      <w:sz w:val="16"/>
    </w:rPr>
  </w:style>
  <w:style w:styleId="Style_9_ch" w:type="character">
    <w:name w:val="Balloon Text"/>
    <w:basedOn w:val="Style_1_ch"/>
    <w:link w:val="Style_9"/>
    <w:rPr>
      <w:rFonts w:ascii="Tahoma" w:hAnsi="Tahoma"/>
      <w:sz w:val="16"/>
    </w:rPr>
  </w:style>
  <w:style w:styleId="Style_10" w:type="paragraph">
    <w:name w:val="heading 5"/>
    <w:next w:val="Style_1"/>
    <w:link w:val="Style_1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0_ch" w:type="character">
    <w:name w:val="heading 5"/>
    <w:link w:val="Style_10"/>
    <w:rPr>
      <w:rFonts w:ascii="XO Thames" w:hAnsi="XO Thames"/>
      <w:b w:val="1"/>
      <w:color w:val="000000"/>
      <w:sz w:val="22"/>
    </w:rPr>
  </w:style>
  <w:style w:styleId="Style_11" w:type="paragraph">
    <w:name w:val="heading 1"/>
    <w:next w:val="Style_1"/>
    <w:link w:val="Style_11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Strong"/>
    <w:basedOn w:val="Style_13"/>
    <w:link w:val="Style_12_ch"/>
    <w:rPr>
      <w:b w:val="1"/>
    </w:rPr>
  </w:style>
  <w:style w:styleId="Style_12_ch" w:type="character">
    <w:name w:val="Strong"/>
    <w:basedOn w:val="Style_13_ch"/>
    <w:link w:val="Style_12"/>
    <w:rPr>
      <w:b w:val="1"/>
    </w:rPr>
  </w:style>
  <w:style w:styleId="Style_14" w:type="paragraph">
    <w:name w:val="Hyperlink"/>
    <w:basedOn w:val="Style_13"/>
    <w:link w:val="Style_14_ch"/>
    <w:rPr>
      <w:color w:val="0000FF"/>
      <w:u w:val="single"/>
    </w:rPr>
  </w:style>
  <w:style w:styleId="Style_14_ch" w:type="character">
    <w:name w:val="Hyperlink"/>
    <w:basedOn w:val="Style_13_ch"/>
    <w:link w:val="Style_14"/>
    <w:rPr>
      <w:color w:val="0000FF"/>
      <w:u w:val="single"/>
    </w:rPr>
  </w:style>
  <w:style w:styleId="Style_15" w:type="paragraph">
    <w:name w:val="Footnote"/>
    <w:link w:val="Style_15_ch"/>
    <w:pPr>
      <w:ind/>
      <w:jc w:val="left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1"/>
    <w:link w:val="Style_16_ch"/>
    <w:uiPriority w:val="39"/>
    <w:pPr>
      <w:ind w:firstLine="0" w:left="0"/>
    </w:pPr>
    <w:rPr>
      <w:rFonts w:ascii="XO Thames" w:hAnsi="XO Thames"/>
      <w:b w:val="1"/>
    </w:rPr>
  </w:style>
  <w:style w:styleId="Style_16_ch" w:type="character">
    <w:name w:val="toc 1"/>
    <w:link w:val="Style_16"/>
    <w:rPr>
      <w:rFonts w:ascii="XO Thames" w:hAnsi="XO Thames"/>
      <w:b w:val="1"/>
    </w:rPr>
  </w:style>
  <w:style w:styleId="Style_17" w:type="paragraph">
    <w:name w:val="Header and Footer"/>
    <w:link w:val="Style_17_ch"/>
    <w:pPr>
      <w:spacing w:line="360" w:lineRule="auto"/>
      <w:ind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1"/>
    <w:link w:val="Style_18_ch"/>
    <w:uiPriority w:val="39"/>
    <w:pPr>
      <w:ind w:firstLine="0" w:left="1600"/>
    </w:pPr>
  </w:style>
  <w:style w:styleId="Style_18_ch" w:type="character">
    <w:name w:val="toc 9"/>
    <w:link w:val="Style_18"/>
  </w:style>
  <w:style w:styleId="Style_19" w:type="paragraph">
    <w:name w:val="toc 8"/>
    <w:next w:val="Style_1"/>
    <w:link w:val="Style_19_ch"/>
    <w:uiPriority w:val="39"/>
    <w:pPr>
      <w:ind w:firstLine="0" w:left="1400"/>
    </w:pPr>
  </w:style>
  <w:style w:styleId="Style_19_ch" w:type="character">
    <w:name w:val="toc 8"/>
    <w:link w:val="Style_19"/>
  </w:style>
  <w:style w:styleId="Style_20" w:type="paragraph">
    <w:name w:val="toc 5"/>
    <w:next w:val="Style_1"/>
    <w:link w:val="Style_20_ch"/>
    <w:uiPriority w:val="39"/>
    <w:pPr>
      <w:ind w:firstLine="0" w:left="800"/>
    </w:pPr>
  </w:style>
  <w:style w:styleId="Style_20_ch" w:type="character">
    <w:name w:val="toc 5"/>
    <w:link w:val="Style_20"/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21" w:type="paragraph">
    <w:name w:val="Subtitle"/>
    <w:next w:val="Style_1"/>
    <w:link w:val="Style_21_ch"/>
    <w:uiPriority w:val="11"/>
    <w:qFormat/>
    <w:rPr>
      <w:rFonts w:ascii="XO Thames" w:hAnsi="XO Thames"/>
      <w:i w:val="1"/>
      <w:color w:val="616161"/>
      <w:sz w:val="24"/>
    </w:rPr>
  </w:style>
  <w:style w:styleId="Style_21_ch" w:type="character">
    <w:name w:val="Subtitle"/>
    <w:link w:val="Style_21"/>
    <w:rPr>
      <w:rFonts w:ascii="XO Thames" w:hAnsi="XO Thames"/>
      <w:i w:val="1"/>
      <w:color w:val="616161"/>
      <w:sz w:val="24"/>
    </w:rPr>
  </w:style>
  <w:style w:styleId="Style_22" w:type="paragraph">
    <w:name w:val="toc 10"/>
    <w:next w:val="Style_1"/>
    <w:link w:val="Style_22_ch"/>
    <w:uiPriority w:val="39"/>
    <w:pPr>
      <w:ind w:firstLine="0" w:left="1800"/>
    </w:pPr>
  </w:style>
  <w:style w:styleId="Style_22_ch" w:type="character">
    <w:name w:val="toc 10"/>
    <w:link w:val="Style_22"/>
  </w:style>
  <w:style w:styleId="Style_23" w:type="paragraph">
    <w:name w:val="Title"/>
    <w:next w:val="Style_1"/>
    <w:link w:val="Style_23_ch"/>
    <w:uiPriority w:val="10"/>
    <w:qFormat/>
    <w:rPr>
      <w:rFonts w:ascii="XO Thames" w:hAnsi="XO Thames"/>
      <w:b w:val="1"/>
      <w:sz w:val="52"/>
    </w:rPr>
  </w:style>
  <w:style w:styleId="Style_23_ch" w:type="character">
    <w:name w:val="Title"/>
    <w:link w:val="Style_23"/>
    <w:rPr>
      <w:rFonts w:ascii="XO Thames" w:hAnsi="XO Thames"/>
      <w:b w:val="1"/>
      <w:sz w:val="52"/>
    </w:rPr>
  </w:style>
  <w:style w:styleId="Style_24" w:type="paragraph">
    <w:name w:val="heading 4"/>
    <w:next w:val="Style_1"/>
    <w:link w:val="Style_2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4_ch" w:type="character">
    <w:name w:val="heading 4"/>
    <w:link w:val="Style_24"/>
    <w:rPr>
      <w:rFonts w:ascii="XO Thames" w:hAnsi="XO Thames"/>
      <w:b w:val="1"/>
      <w:color w:val="595959"/>
      <w:sz w:val="26"/>
    </w:rPr>
  </w:style>
  <w:style w:styleId="Style_25" w:type="paragraph">
    <w:name w:val="heading 2"/>
    <w:next w:val="Style_1"/>
    <w:link w:val="Style_2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5_ch" w:type="character">
    <w:name w:val="heading 2"/>
    <w:link w:val="Style_25"/>
    <w:rPr>
      <w:rFonts w:ascii="XO Thames" w:hAnsi="XO Thames"/>
      <w:b w:val="1"/>
      <w:color w:val="00A0FF"/>
      <w:sz w:val="26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MyOffice-CoreFramework-Windows/20.10-808.335.4340.442.1@RELEASE-DESKTOP-QQRUZA-RC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2023-01-10T08:16:25Z</dcterms:modified>
</cp:coreProperties>
</file>